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округа утверждено обвинительное заключение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по уголовному делу по обвинению Р.А.П. </w:t>
      </w:r>
      <w:r>
        <w:rPr>
          <w:rFonts w:ascii="Times New Roman" w:hAnsi="Times New Roman"/>
          <w:b w:val="1"/>
          <w:sz w:val="28"/>
        </w:rPr>
        <w:t xml:space="preserve">в совершении двух преступлений, предусмотренных ч. 7 ст. 159 УК РФ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ошенничество, то есть хищение чужого имущества путем обмана </w:t>
      </w:r>
      <w:r>
        <w:rPr>
          <w:rFonts w:ascii="Times New Roman" w:hAnsi="Times New Roman"/>
          <w:b w:val="1"/>
          <w:sz w:val="28"/>
        </w:rPr>
        <w:t>и злоупотребления доверием, сопряженное с преднамеренным неисполнением договорных обязательств в сфере предпринимательской деятельности, в особо крупном размере</w:t>
      </w:r>
      <w:r>
        <w:rPr>
          <w:rFonts w:ascii="Times New Roman" w:hAnsi="Times New Roman"/>
          <w:sz w:val="28"/>
        </w:rPr>
        <w:t>).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Предварительным следствием установлено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sz w:val="28"/>
        </w:rPr>
        <w:t>что Р.А.П., являясь фактическим руководителем и бенефициаром ООО «</w:t>
      </w:r>
      <w:r>
        <w:rPr>
          <w:rFonts w:ascii="Times New Roman" w:hAnsi="Times New Roman"/>
          <w:sz w:val="28"/>
        </w:rPr>
        <w:t xml:space="preserve">Севен </w:t>
      </w:r>
      <w:r>
        <w:rPr>
          <w:rFonts w:ascii="Times New Roman" w:hAnsi="Times New Roman"/>
          <w:sz w:val="28"/>
        </w:rPr>
        <w:t>Санс</w:t>
      </w:r>
      <w:r>
        <w:rPr>
          <w:rFonts w:ascii="Times New Roman" w:hAnsi="Times New Roman"/>
          <w:sz w:val="28"/>
        </w:rPr>
        <w:t xml:space="preserve"> Девелопмент МСК Юго-Запад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22.11.2018 приобрел 100% доли в уставном</w:t>
      </w:r>
      <w:r>
        <w:rPr>
          <w:rFonts w:ascii="Times New Roman" w:hAnsi="Times New Roman"/>
          <w:sz w:val="28"/>
        </w:rPr>
        <w:t xml:space="preserve"> капитале</w:t>
      </w:r>
      <w:r>
        <w:rPr>
          <w:rFonts w:ascii="Times New Roman" w:hAnsi="Times New Roman"/>
          <w:sz w:val="28"/>
        </w:rPr>
        <w:t xml:space="preserve">         ООО «</w:t>
      </w:r>
      <w:r>
        <w:rPr>
          <w:rFonts w:ascii="Times New Roman" w:hAnsi="Times New Roman"/>
          <w:sz w:val="28"/>
        </w:rPr>
        <w:t>ГрандНэкст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принадлежащей </w:t>
      </w:r>
      <w:r>
        <w:rPr>
          <w:rFonts w:ascii="Times New Roman" w:hAnsi="Times New Roman"/>
          <w:sz w:val="28"/>
        </w:rPr>
        <w:t>Б.</w:t>
      </w:r>
      <w:r>
        <w:rPr>
          <w:rFonts w:ascii="Times New Roman" w:hAnsi="Times New Roman"/>
          <w:sz w:val="28"/>
        </w:rPr>
        <w:t>А.Б.,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собственности которого находился</w:t>
      </w:r>
      <w:r>
        <w:rPr>
          <w:rFonts w:ascii="Times New Roman" w:hAnsi="Times New Roman"/>
          <w:sz w:val="28"/>
        </w:rPr>
        <w:t xml:space="preserve"> земельный участок, расположенный по адресу: г. Москва,                  ул. </w:t>
      </w:r>
      <w:r>
        <w:rPr>
          <w:rFonts w:ascii="Times New Roman" w:hAnsi="Times New Roman"/>
          <w:sz w:val="28"/>
        </w:rPr>
        <w:t>Лосиноостровская</w:t>
      </w:r>
      <w:r>
        <w:rPr>
          <w:rFonts w:ascii="Times New Roman" w:hAnsi="Times New Roman"/>
          <w:sz w:val="28"/>
        </w:rPr>
        <w:t xml:space="preserve">, вл. 45, для последующего строительства жилого комплекса «Светлый мир «Сказочный лес». 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Р.А.П. получив в собственность ООО «</w:t>
      </w:r>
      <w:r>
        <w:rPr>
          <w:rFonts w:ascii="Times New Roman" w:hAnsi="Times New Roman"/>
          <w:sz w:val="28"/>
        </w:rPr>
        <w:t>ГрандНэкст</w:t>
      </w:r>
      <w:r>
        <w:rPr>
          <w:rFonts w:ascii="Times New Roman" w:hAnsi="Times New Roman"/>
          <w:sz w:val="28"/>
        </w:rPr>
        <w:t>» с момента подписания договора купли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продажи доли в уставном капитале общества,  заведомо не имея намерения исполнить условия договора по переводу окончательной оплаты, не перечислил сумму в размере 112 000 тыс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рублей, тем самым причинив </w:t>
      </w:r>
      <w:r>
        <w:rPr>
          <w:rFonts w:ascii="Times New Roman" w:hAnsi="Times New Roman"/>
          <w:sz w:val="28"/>
        </w:rPr>
        <w:t>Б.</w:t>
      </w:r>
      <w:r>
        <w:rPr>
          <w:rFonts w:ascii="Times New Roman" w:hAnsi="Times New Roman"/>
          <w:sz w:val="28"/>
        </w:rPr>
        <w:t xml:space="preserve">А.Б. материальный ущерб в особо крупном размере. 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же</w:t>
      </w:r>
      <w:r>
        <w:rPr>
          <w:rFonts w:ascii="Times New Roman" w:hAnsi="Times New Roman"/>
          <w:sz w:val="28"/>
        </w:rPr>
        <w:t xml:space="preserve"> заключил с ИП М.В.В. договор об оказании консультационных услуг по даче рекомендаций и указаний по получению свидетельства об утверждении архитектурно-градостроительного решения, нового буклета к свидетельству об утверждении архитектурно-градостроительного решения и разрешения на строительство жилого комплекса «Светлый мир «В стремлении к свету». 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по результатам исполнения договора ИП М.В.В., обвиняемый </w:t>
      </w:r>
      <w:r>
        <w:rPr>
          <w:rFonts w:ascii="Times New Roman" w:hAnsi="Times New Roman"/>
          <w:sz w:val="28"/>
        </w:rPr>
        <w:t xml:space="preserve">заведомо не имея намерения исполнить условия ранее заключенного договору по переводу окончательной оплаты оказанных услуг </w:t>
      </w:r>
      <w:r>
        <w:rPr>
          <w:rFonts w:ascii="Times New Roman" w:hAnsi="Times New Roman"/>
          <w:sz w:val="28"/>
        </w:rPr>
        <w:t xml:space="preserve">по договору, не перечислил сумму в размере более 34 316 тыс. рублей в адрес ИП М.В.В., тем самым причинив материальный ущерб последнему </w:t>
      </w:r>
      <w:r>
        <w:rPr>
          <w:rFonts w:ascii="Times New Roman" w:hAnsi="Times New Roman"/>
          <w:sz w:val="28"/>
        </w:rPr>
        <w:t xml:space="preserve">в особо крупном размере. 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Р.А.П. заключен под стражу, вину в совершении данных преступлений не признал, у</w:t>
      </w:r>
      <w:r>
        <w:rPr>
          <w:rFonts w:ascii="Times New Roman" w:hAnsi="Times New Roman"/>
          <w:sz w:val="28"/>
        </w:rPr>
        <w:t>головное дело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утвержденным обвинительным заключением 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направлено в </w:t>
      </w:r>
      <w:r>
        <w:rPr>
          <w:rFonts w:ascii="Times New Roman" w:hAnsi="Times New Roman"/>
          <w:sz w:val="28"/>
        </w:rPr>
        <w:t>Дорогомиловский</w:t>
      </w:r>
      <w:r>
        <w:rPr>
          <w:rFonts w:ascii="Times New Roman" w:hAnsi="Times New Roman"/>
          <w:sz w:val="28"/>
        </w:rPr>
        <w:t xml:space="preserve"> районный суд г. Москвы для рассмотрения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существу.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0"/>
        </w:rPr>
      </w:pPr>
    </w:p>
    <w:p w14:paraId="13000000">
      <w:pPr>
        <w:rPr>
          <w:rFonts w:ascii="Times New Roman" w:hAnsi="Times New Roman"/>
          <w:sz w:val="20"/>
        </w:rPr>
      </w:pPr>
    </w:p>
    <w:p w14:paraId="14000000">
      <w:pPr>
        <w:rPr>
          <w:rFonts w:ascii="Times New Roman" w:hAnsi="Times New Roman"/>
          <w:sz w:val="2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709" w:gutter="0" w:header="709" w:left="1418" w:right="70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5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6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tabs>
        <w:tab w:leader="none" w:pos="3686" w:val="left"/>
      </w:tabs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List Paragraph"/>
    <w:basedOn w:val="Style_4"/>
    <w:link w:val="Style_8_ch"/>
    <w:pPr>
      <w:ind w:firstLine="0" w:left="720"/>
      <w:contextualSpacing w:val="1"/>
    </w:pPr>
  </w:style>
  <w:style w:styleId="Style_8_ch" w:type="character">
    <w:name w:val="List Paragraph"/>
    <w:basedOn w:val="Style_4_ch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Знак"/>
    <w:basedOn w:val="Style_4"/>
    <w:link w:val="Style_13_ch"/>
    <w:pPr>
      <w:spacing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4_ch"/>
    <w:link w:val="Style_13"/>
    <w:rPr>
      <w:rFonts w:ascii="Verdana" w:hAnsi="Verdana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Nonformat"/>
    <w:link w:val="Style_15"/>
    <w:rPr>
      <w:rFonts w:ascii="Courier New" w:hAnsi="Courier New"/>
      <w:sz w:val="20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Штамп"/>
    <w:basedOn w:val="Style_4"/>
    <w:link w:val="Style_22_ch"/>
    <w:pPr>
      <w:spacing w:after="0" w:line="720" w:lineRule="auto"/>
      <w:ind/>
      <w:jc w:val="left"/>
    </w:pPr>
    <w:rPr>
      <w:rFonts w:ascii="Times New Roman" w:hAnsi="Times New Roman"/>
      <w:sz w:val="28"/>
    </w:rPr>
  </w:style>
  <w:style w:styleId="Style_22_ch" w:type="character">
    <w:name w:val="Штамп"/>
    <w:basedOn w:val="Style_4_ch"/>
    <w:link w:val="Style_22"/>
    <w:rPr>
      <w:rFonts w:ascii="Times New Roman" w:hAnsi="Times New Roman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alloon Text"/>
    <w:basedOn w:val="Style_4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3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2025-05-30T10:10:54Z</dcterms:modified>
</cp:coreProperties>
</file>